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8AD25" w14:textId="77777777" w:rsidR="00A3562F" w:rsidRDefault="00A3562F">
      <w:pPr>
        <w:widowControl/>
        <w:spacing w:line="400" w:lineRule="exact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lang w:bidi="ar"/>
        </w:rPr>
      </w:pPr>
    </w:p>
    <w:p w14:paraId="4407336A" w14:textId="63665BD6" w:rsidR="00A3562F" w:rsidRDefault="00F6430D">
      <w:pPr>
        <w:widowControl/>
        <w:spacing w:line="400" w:lineRule="exact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  <w:t>博士生姓名：</w:t>
      </w:r>
      <w:r w:rsidR="00B35AF2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杨红翠</w:t>
      </w:r>
    </w:p>
    <w:p w14:paraId="68DDFEC6" w14:textId="77777777" w:rsidR="009B7675" w:rsidRDefault="009B7675">
      <w:pPr>
        <w:widowControl/>
        <w:spacing w:line="400" w:lineRule="exact"/>
        <w:jc w:val="left"/>
        <w:rPr>
          <w:rFonts w:ascii="Times New Roman" w:eastAsia="宋体" w:hAnsi="Times New Roman" w:cs="Times New Roman" w:hint="eastAsia"/>
        </w:rPr>
      </w:pPr>
    </w:p>
    <w:p w14:paraId="634C5494" w14:textId="2783F08F" w:rsidR="00A3562F" w:rsidRDefault="00F6430D">
      <w:pPr>
        <w:widowControl/>
        <w:spacing w:line="400" w:lineRule="exact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  <w:t>年级专业：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2021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级公共管理</w:t>
      </w:r>
    </w:p>
    <w:p w14:paraId="0BB076BE" w14:textId="77777777" w:rsidR="009B7675" w:rsidRDefault="009B7675">
      <w:pPr>
        <w:widowControl/>
        <w:spacing w:line="400" w:lineRule="exact"/>
        <w:jc w:val="left"/>
        <w:rPr>
          <w:rFonts w:ascii="Times New Roman" w:eastAsia="宋体" w:hAnsi="Times New Roman" w:cs="Times New Roman" w:hint="eastAsia"/>
        </w:rPr>
      </w:pPr>
    </w:p>
    <w:p w14:paraId="0255A143" w14:textId="0BC813DE" w:rsidR="00A3562F" w:rsidRDefault="00F6430D">
      <w:pPr>
        <w:widowControl/>
        <w:spacing w:line="400" w:lineRule="exact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  <w:t>导师姓名：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徐月宾</w:t>
      </w:r>
    </w:p>
    <w:p w14:paraId="15AEF202" w14:textId="77777777" w:rsidR="009B7675" w:rsidRDefault="009B7675">
      <w:pPr>
        <w:widowControl/>
        <w:spacing w:line="400" w:lineRule="exact"/>
        <w:jc w:val="left"/>
        <w:rPr>
          <w:rFonts w:ascii="Times New Roman" w:eastAsia="宋体" w:hAnsi="Times New Roman" w:cs="Times New Roman" w:hint="eastAsia"/>
        </w:rPr>
      </w:pPr>
    </w:p>
    <w:p w14:paraId="2A18459B" w14:textId="7386FFB4" w:rsidR="00A3562F" w:rsidRDefault="00F6430D">
      <w:pPr>
        <w:widowControl/>
        <w:spacing w:line="400" w:lineRule="exact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  <w:t>开题时间：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2023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年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12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月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1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日上午</w:t>
      </w:r>
      <w:r w:rsidR="00B35AF2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1</w:t>
      </w:r>
      <w:r w:rsidR="00B35AF2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0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:00-1</w:t>
      </w:r>
      <w:r w:rsidR="00B35AF2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1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:00</w:t>
      </w:r>
    </w:p>
    <w:p w14:paraId="1D0C9973" w14:textId="77777777" w:rsidR="009B7675" w:rsidRDefault="009B7675">
      <w:pPr>
        <w:widowControl/>
        <w:spacing w:line="400" w:lineRule="exact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</w:pPr>
    </w:p>
    <w:p w14:paraId="003322FB" w14:textId="07678A67" w:rsidR="00A3562F" w:rsidRDefault="00F6430D">
      <w:pPr>
        <w:widowControl/>
        <w:spacing w:line="400" w:lineRule="exact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  <w:t>开题地点：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励教楼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C405</w:t>
      </w:r>
    </w:p>
    <w:p w14:paraId="2A3538AF" w14:textId="77777777" w:rsidR="009B7675" w:rsidRDefault="009B7675">
      <w:pPr>
        <w:widowControl/>
        <w:spacing w:line="400" w:lineRule="exact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</w:pPr>
    </w:p>
    <w:p w14:paraId="44D1AF3B" w14:textId="56CC4BF1" w:rsidR="00A3562F" w:rsidRDefault="00F6430D">
      <w:pPr>
        <w:widowControl/>
        <w:spacing w:line="400" w:lineRule="exact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  <w:t>开题题目：</w:t>
      </w:r>
      <w:r w:rsidR="00B35AF2" w:rsidRPr="00B35AF2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民营企业家慈善捐赠行为及其影响因素研究</w:t>
      </w:r>
    </w:p>
    <w:p w14:paraId="768A497E" w14:textId="77777777" w:rsidR="009B7675" w:rsidRDefault="009B7675">
      <w:pPr>
        <w:widowControl/>
        <w:spacing w:line="400" w:lineRule="exact"/>
        <w:jc w:val="left"/>
        <w:rPr>
          <w:rFonts w:ascii="Times New Roman" w:eastAsia="宋体" w:hAnsi="Times New Roman" w:cs="Times New Roman" w:hint="eastAsia"/>
        </w:rPr>
      </w:pPr>
    </w:p>
    <w:p w14:paraId="3B3C3F2E" w14:textId="77777777" w:rsidR="00A3562F" w:rsidRDefault="00F6430D">
      <w:pPr>
        <w:widowControl/>
        <w:spacing w:line="400" w:lineRule="exact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  <w:t>开题简述（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  <w:t>600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  <w:t>字左右）：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  <w:t xml:space="preserve"> </w:t>
      </w:r>
    </w:p>
    <w:p w14:paraId="5DDEBB51" w14:textId="1DC6B6A4" w:rsidR="00C35246" w:rsidRDefault="00C35246" w:rsidP="00C35246">
      <w:pPr>
        <w:widowControl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 w:rsidRPr="00C35246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随着中国经济的迅猛发展，民营企业家已成为慈善捐赠的主要推动力。他们的捐赠行为逐渐引起社会广泛关注，成为学术界研究的热点问题。慈善捐赠通过将资源直接投入社会需求领域，弥补了市场和政府在资源调节方面的不足，成为财富第三次分配的重要方式，有助于满足社会各类需求、缓解社会问题、促进社会公平正义、改善社会保障和补充社会福利水平。然而，尽管民营企业家在慈善领域的参与逐渐增加，但整体参与水平仍然相对有限。因此，深入探讨为何一些企业家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积极做出慈善</w:t>
      </w:r>
      <w:r w:rsidRPr="00C35246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选择，而另一些则不这样做的原因显得尤为重要。</w:t>
      </w:r>
    </w:p>
    <w:p w14:paraId="6B596BCC" w14:textId="77777777" w:rsidR="009B7675" w:rsidRPr="00C35246" w:rsidRDefault="009B7675" w:rsidP="00C35246">
      <w:pPr>
        <w:widowControl/>
        <w:spacing w:line="400" w:lineRule="exact"/>
        <w:ind w:firstLineChars="200" w:firstLine="480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</w:pPr>
    </w:p>
    <w:p w14:paraId="71645DEF" w14:textId="322973DC" w:rsidR="00C35246" w:rsidRDefault="00C35246" w:rsidP="00C35246">
      <w:pPr>
        <w:widowControl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 w:rsidRPr="00C35246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现有文献多从个人或组织的单一层面考察企业家的慈善行为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，</w:t>
      </w:r>
      <w:r w:rsidRPr="00C35246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较少从他们作为个体和企业双重身份的角度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，</w:t>
      </w:r>
      <w:r w:rsidRPr="00C35246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探讨这一行为背后更为复杂的影响机制。本研究拟建立一个多层次的概念框架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，</w:t>
      </w:r>
      <w:r w:rsidRPr="00C35246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系统性地分析个人情感、认知、交换等微观层面因素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，</w:t>
      </w:r>
      <w:r w:rsidRPr="00C35246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以及组织特征、环境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互动</w:t>
      </w:r>
      <w:r w:rsidRPr="00C35246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等中观层面因素之间的相互作用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，</w:t>
      </w:r>
      <w:r w:rsidRPr="00C35246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并采用定性和定量相结合的研究方法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来</w:t>
      </w:r>
      <w:r w:rsidRPr="00C35246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深入挖掘这一行为的内在动机。在定性研究中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，</w:t>
      </w:r>
      <w:r w:rsidRPr="00C35246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本研究选择民营企业较为发达的珠海市作为个案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，</w:t>
      </w:r>
      <w:r w:rsidRPr="00C35246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通过叙事访谈等方法描绘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40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个</w:t>
      </w:r>
      <w:r w:rsidRPr="00C35246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不同类型企业家的独特捐赠经历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，</w:t>
      </w:r>
      <w:r w:rsidRPr="00C35246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梳理他们的理念、动机和关键转折点。在定量研究中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，</w:t>
      </w:r>
      <w:r w:rsidRPr="00C35246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本研究从珠海全市随机选取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1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600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个</w:t>
      </w:r>
      <w:r w:rsidRPr="00C35246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样本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，</w:t>
      </w:r>
      <w:r w:rsidRPr="00C35246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实施问卷调查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，</w:t>
      </w:r>
      <w:r w:rsidRPr="00C35246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检验上述定性发现的代表性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，</w:t>
      </w:r>
      <w:r w:rsidRPr="00C35246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描述并比较不同群体的捐赠特征。</w:t>
      </w:r>
      <w:r w:rsidR="00A172FF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混合研讨的</w:t>
      </w:r>
      <w:r w:rsidRPr="00C35246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设计</w:t>
      </w:r>
      <w:r w:rsidR="00A172FF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旨</w:t>
      </w:r>
      <w:r w:rsidRPr="00C35246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在</w:t>
      </w:r>
      <w:r w:rsidR="00A172FF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探索</w:t>
      </w:r>
      <w:r w:rsidRPr="00C35246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个体经验细节的基础上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，</w:t>
      </w:r>
      <w:r w:rsidRPr="00C35246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提炼出更为普适的规律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。</w:t>
      </w:r>
    </w:p>
    <w:p w14:paraId="0C0C83D5" w14:textId="58311121" w:rsidR="00C35246" w:rsidRDefault="00C35246" w:rsidP="00C35246">
      <w:pPr>
        <w:widowControl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 w:rsidRPr="00C35246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lastRenderedPageBreak/>
        <w:t>本研究的理论贡献在于构建了一个多维度的分析框架</w:t>
      </w:r>
      <w:r w:rsidR="00D81E88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，</w:t>
      </w:r>
      <w:r w:rsidRPr="00C35246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从更加立体和全面的视角解释了</w:t>
      </w:r>
      <w:r w:rsidR="00D81E88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民营企业家</w:t>
      </w:r>
      <w:r w:rsidRPr="00C35246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慈善捐赠这类复杂行为的内在机理。同时</w:t>
      </w:r>
      <w:r w:rsidR="00D81E88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，</w:t>
      </w:r>
      <w:r w:rsidRPr="00C35246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研究结果也将为政府和相关部门制定政策提供参考</w:t>
      </w:r>
      <w:r w:rsidR="00D81E88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，</w:t>
      </w:r>
      <w:r w:rsidRPr="00C35246"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推动慈善事业的健康发展。</w:t>
      </w:r>
    </w:p>
    <w:p w14:paraId="2E4327B0" w14:textId="77777777" w:rsidR="00A3562F" w:rsidRDefault="00A3562F">
      <w:pPr>
        <w:widowControl/>
        <w:spacing w:line="400" w:lineRule="exact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</w:p>
    <w:p w14:paraId="61565317" w14:textId="6089501E" w:rsidR="00A3562F" w:rsidRDefault="00F6430D">
      <w:pPr>
        <w:widowControl/>
        <w:spacing w:line="400" w:lineRule="exact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  <w:t>开题组成员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（</w:t>
      </w:r>
      <w:r w:rsidR="00144B6F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3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人）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  <w:t>：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  <w:t xml:space="preserve"> </w:t>
      </w:r>
    </w:p>
    <w:p w14:paraId="0ED37507" w14:textId="77777777" w:rsidR="009B7675" w:rsidRDefault="009B7675">
      <w:pPr>
        <w:widowControl/>
        <w:spacing w:line="400" w:lineRule="exact"/>
        <w:jc w:val="left"/>
        <w:rPr>
          <w:rFonts w:ascii="Times New Roman" w:eastAsia="宋体" w:hAnsi="Times New Roman" w:cs="Times New Roman"/>
          <w:b/>
          <w:bCs/>
        </w:rPr>
      </w:pPr>
      <w:bookmarkStart w:id="0" w:name="_GoBack"/>
      <w:bookmarkEnd w:id="0"/>
    </w:p>
    <w:p w14:paraId="47BE967C" w14:textId="77777777" w:rsidR="00A3562F" w:rsidRDefault="00F6430D">
      <w:pPr>
        <w:widowControl/>
        <w:spacing w:line="400" w:lineRule="exact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涂勤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（组长）、北京师范大学人文和社会科学高等研究院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创新发展研究中心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教授，博士生导师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 xml:space="preserve"> </w:t>
      </w:r>
    </w:p>
    <w:p w14:paraId="1543BBA3" w14:textId="77777777" w:rsidR="00A3562F" w:rsidRDefault="00F6430D">
      <w:pPr>
        <w:widowControl/>
        <w:spacing w:line="400" w:lineRule="exact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陶传进（委员）、北京师范大学社会发展与公共政策学院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教授，博士生导师</w:t>
      </w:r>
    </w:p>
    <w:p w14:paraId="62821B14" w14:textId="77777777" w:rsidR="00A3562F" w:rsidRDefault="00F6430D">
      <w:pPr>
        <w:widowControl/>
        <w:spacing w:line="400" w:lineRule="exact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杜鸿飞（委员）、北京师范大学人文和社会科学高等研究院健康与社会政策研究中心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副教授，博士生导师</w:t>
      </w:r>
    </w:p>
    <w:p w14:paraId="3455B751" w14:textId="77777777" w:rsidR="00A3562F" w:rsidRDefault="00A3562F">
      <w:pPr>
        <w:widowControl/>
        <w:spacing w:line="400" w:lineRule="exact"/>
        <w:jc w:val="left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</w:p>
    <w:p w14:paraId="57666B3A" w14:textId="77777777" w:rsidR="00A3562F" w:rsidRDefault="00F6430D">
      <w:pPr>
        <w:widowControl/>
        <w:spacing w:line="400" w:lineRule="exact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bidi="ar"/>
        </w:rPr>
        <w:t>开题秘书：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陈蕴婷（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2023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级博士研究生）</w:t>
      </w:r>
    </w:p>
    <w:p w14:paraId="0F2C70E2" w14:textId="77777777" w:rsidR="00A3562F" w:rsidRDefault="00A3562F">
      <w:pPr>
        <w:spacing w:line="400" w:lineRule="exact"/>
        <w:rPr>
          <w:rFonts w:ascii="宋体" w:eastAsia="宋体" w:hAnsi="宋体" w:cs="宋体"/>
        </w:rPr>
      </w:pPr>
    </w:p>
    <w:sectPr w:rsidR="00A35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E45B3" w14:textId="77777777" w:rsidR="00F6430D" w:rsidRDefault="00F6430D" w:rsidP="00B35AF2">
      <w:r>
        <w:separator/>
      </w:r>
    </w:p>
  </w:endnote>
  <w:endnote w:type="continuationSeparator" w:id="0">
    <w:p w14:paraId="1126C165" w14:textId="77777777" w:rsidR="00F6430D" w:rsidRDefault="00F6430D" w:rsidP="00B3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4DF4D" w14:textId="77777777" w:rsidR="00F6430D" w:rsidRDefault="00F6430D" w:rsidP="00B35AF2">
      <w:r>
        <w:separator/>
      </w:r>
    </w:p>
  </w:footnote>
  <w:footnote w:type="continuationSeparator" w:id="0">
    <w:p w14:paraId="0D36AEEF" w14:textId="77777777" w:rsidR="00F6430D" w:rsidRDefault="00F6430D" w:rsidP="00B35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4Y2RjOTE3MjVmMmQ3ZjEwM2MxODBlOWRmZDM4YTMifQ=="/>
  </w:docVars>
  <w:rsids>
    <w:rsidRoot w:val="00A3562F"/>
    <w:rsid w:val="000C46B9"/>
    <w:rsid w:val="000D3C3A"/>
    <w:rsid w:val="00121DCA"/>
    <w:rsid w:val="00144B6F"/>
    <w:rsid w:val="0033770C"/>
    <w:rsid w:val="003722BF"/>
    <w:rsid w:val="004A7EB5"/>
    <w:rsid w:val="00544F91"/>
    <w:rsid w:val="009B7675"/>
    <w:rsid w:val="009C6175"/>
    <w:rsid w:val="00A172FF"/>
    <w:rsid w:val="00A3562F"/>
    <w:rsid w:val="00A92CF1"/>
    <w:rsid w:val="00AE74CB"/>
    <w:rsid w:val="00B35AF2"/>
    <w:rsid w:val="00B96FAF"/>
    <w:rsid w:val="00C35246"/>
    <w:rsid w:val="00D13FD9"/>
    <w:rsid w:val="00D65B93"/>
    <w:rsid w:val="00D81E88"/>
    <w:rsid w:val="00F6430D"/>
    <w:rsid w:val="00FE2223"/>
    <w:rsid w:val="08F85810"/>
    <w:rsid w:val="0F423341"/>
    <w:rsid w:val="0F7D25CB"/>
    <w:rsid w:val="14117786"/>
    <w:rsid w:val="168C22C5"/>
    <w:rsid w:val="1CD76B2B"/>
    <w:rsid w:val="259D3570"/>
    <w:rsid w:val="27653C19"/>
    <w:rsid w:val="2A094D30"/>
    <w:rsid w:val="2E19750B"/>
    <w:rsid w:val="2E314855"/>
    <w:rsid w:val="2F250716"/>
    <w:rsid w:val="2F285C58"/>
    <w:rsid w:val="318A4F6C"/>
    <w:rsid w:val="33947D60"/>
    <w:rsid w:val="33B71CA0"/>
    <w:rsid w:val="351A4295"/>
    <w:rsid w:val="37C83096"/>
    <w:rsid w:val="3C6A2BFC"/>
    <w:rsid w:val="3D5D11C3"/>
    <w:rsid w:val="3D9F7A2D"/>
    <w:rsid w:val="3DA36B83"/>
    <w:rsid w:val="3F676329"/>
    <w:rsid w:val="425D0157"/>
    <w:rsid w:val="463351B6"/>
    <w:rsid w:val="4C545E87"/>
    <w:rsid w:val="4C8147A2"/>
    <w:rsid w:val="4CB15087"/>
    <w:rsid w:val="52D364BC"/>
    <w:rsid w:val="534C5B09"/>
    <w:rsid w:val="54707211"/>
    <w:rsid w:val="54826A6F"/>
    <w:rsid w:val="5C874E12"/>
    <w:rsid w:val="5DD725C3"/>
    <w:rsid w:val="5FDD1F3F"/>
    <w:rsid w:val="6D0A6AB5"/>
    <w:rsid w:val="71E371E1"/>
    <w:rsid w:val="78AB67B3"/>
    <w:rsid w:val="7961380D"/>
    <w:rsid w:val="7CA9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2B7798"/>
  <w15:docId w15:val="{795FBACC-6A60-40B0-A4C2-242CC219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5AF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35AF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B35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35AF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63548</dc:creator>
  <cp:lastModifiedBy>Windows User</cp:lastModifiedBy>
  <cp:revision>8</cp:revision>
  <dcterms:created xsi:type="dcterms:W3CDTF">2023-11-21T02:01:00Z</dcterms:created>
  <dcterms:modified xsi:type="dcterms:W3CDTF">2023-11-27T00:52:00Z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14CF5D166FF14294BBF5C4922CD3D1EB_12</vt:lpwstr>
  </property>
  <property fmtid="{D5CDD505-2E9C-101B-9397-08002B2CF9AE}" pid="4" name="GrammarlyDocumentId">
    <vt:lpwstr>a0a6b4193af66fa258ef3281ccbfbf537a407b5ec688deca82e0194e21b8314d</vt:lpwstr>
  </property>
</Properties>
</file>